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6C91" w14:textId="77777777" w:rsidR="009F3212" w:rsidRPr="009F3212" w:rsidRDefault="009F3212" w:rsidP="009F3212">
      <w:pP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noProof/>
          <w:color w:val="333333"/>
          <w:kern w:val="0"/>
          <w:sz w:val="24"/>
          <w:szCs w:val="24"/>
          <w:lang w:val="ro-RO" w:eastAsia="ro-RO"/>
          <w14:ligatures w14:val="none"/>
        </w:rPr>
        <w:drawing>
          <wp:inline distT="0" distB="0" distL="0" distR="0" wp14:anchorId="6EC76516" wp14:editId="657E6376">
            <wp:extent cx="762000" cy="965200"/>
            <wp:effectExtent l="0" t="0" r="0" b="6350"/>
            <wp:docPr id="2" name="Picture 1" descr="A colorful emblem with a bull hea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ful emblem with a bull hea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6C7F8" w14:textId="77777777" w:rsidR="009F3212" w:rsidRPr="009F3212" w:rsidRDefault="009F3212" w:rsidP="009F3212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Республика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Молдова</w:t>
      </w:r>
      <w:proofErr w:type="spellEnd"/>
    </w:p>
    <w:p w14:paraId="0252785F" w14:textId="77777777" w:rsidR="009F3212" w:rsidRPr="009F3212" w:rsidRDefault="009F3212" w:rsidP="009F3212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НАЦИОНАЛЬНЫЙ БАНК</w:t>
      </w:r>
    </w:p>
    <w:p w14:paraId="30E090FB" w14:textId="77777777" w:rsidR="009F3212" w:rsidRPr="009F3212" w:rsidRDefault="009F3212" w:rsidP="009F3212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ПОСТАНОВЛЕНИЕ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 № 202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br/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09-08-2018</w:t>
      </w:r>
    </w:p>
    <w:p w14:paraId="3226B711" w14:textId="77777777" w:rsidR="009F3212" w:rsidRPr="009F3212" w:rsidRDefault="009F3212" w:rsidP="009F3212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утверждении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требованиях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br/>
        <w:t xml:space="preserve">в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br/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br/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небанковских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услуг</w:t>
      </w:r>
      <w:proofErr w:type="spellEnd"/>
    </w:p>
    <w:p w14:paraId="1249D567" w14:textId="77777777" w:rsidR="009F3212" w:rsidRPr="009F3212" w:rsidRDefault="009F3212" w:rsidP="009F3212">
      <w:pPr>
        <w:shd w:val="clear" w:color="auto" w:fill="FFFFFF"/>
        <w:spacing w:before="165" w:after="165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Опубликован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: 24-08-2018 в Monitorul Oficial № 321-332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статья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№ 1313</w:t>
      </w:r>
    </w:p>
    <w:p w14:paraId="358C9C2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ИЗМЕНЕНО</w:t>
      </w:r>
    </w:p>
    <w:p w14:paraId="6E500FF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hyperlink r:id="rId5" w:history="1"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ПНБ8 </w:t>
        </w:r>
        <w:proofErr w:type="spellStart"/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от</w:t>
        </w:r>
        <w:proofErr w:type="spellEnd"/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 13.01.25,</w:t>
        </w:r>
        <w:r w:rsidRPr="009F3212">
          <w:rPr>
            <w:rFonts w:asciiTheme="minorHAnsi" w:eastAsia="Times New Roman" w:hAnsiTheme="minorHAnsi" w:cstheme="minorHAnsi"/>
            <w:color w:val="0000FF"/>
            <w:kern w:val="0"/>
            <w:sz w:val="24"/>
            <w:szCs w:val="24"/>
            <w:lang w:val="ro-RO" w:eastAsia="ro-RO"/>
            <w14:ligatures w14:val="none"/>
          </w:rPr>
          <w:t> </w:t>
        </w:r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MO8-10/16.01.25 </w:t>
        </w:r>
        <w:proofErr w:type="spellStart"/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ст</w:t>
        </w:r>
        <w:proofErr w:type="spellEnd"/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 xml:space="preserve">. 24; в </w:t>
        </w:r>
        <w:proofErr w:type="spellStart"/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силу</w:t>
        </w:r>
        <w:proofErr w:type="spellEnd"/>
        <w:r w:rsidRPr="009F3212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 xml:space="preserve"> с 16.01.25</w:t>
        </w:r>
      </w:hyperlink>
    </w:p>
    <w:p w14:paraId="1081314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474B38D8" w14:textId="77777777" w:rsidR="009F3212" w:rsidRPr="009F3212" w:rsidRDefault="009F3212" w:rsidP="009F3212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BD09315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ЗАРЕГИСТРИРОВАНО:</w:t>
      </w:r>
    </w:p>
    <w:p w14:paraId="7BA75395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Министерство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юстиции</w:t>
      </w:r>
      <w:proofErr w:type="spellEnd"/>
    </w:p>
    <w:p w14:paraId="5D3E7BDB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</w:p>
    <w:p w14:paraId="41225CCC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__________________________</w:t>
      </w:r>
    </w:p>
    <w:p w14:paraId="5E4EC896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№ 1355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21.08.2018 г.</w:t>
      </w:r>
    </w:p>
    <w:p w14:paraId="0F721177" w14:textId="77777777" w:rsidR="009F3212" w:rsidRPr="009F3212" w:rsidRDefault="009F3212" w:rsidP="009F3212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614B61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m)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5,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ст.11 и п. с)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ст.27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548-XIII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21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июля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1995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повторное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2015 г., №297-300, ст.544),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ст.5 и п. 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ст.93 и ст.94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114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2012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(3) и (14)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13,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2012 г., № 58-66, ст.133)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ПОСТАНОВЛЯЕТ:</w:t>
      </w:r>
    </w:p>
    <w:p w14:paraId="039A11C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Утвердить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небанковских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прилагается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48A8EA7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вступает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336C12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369CAF5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ПРЕДСЕДАТЕЛЬ</w:t>
      </w:r>
    </w:p>
    <w:p w14:paraId="33FE681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 КОМИТЕТА</w:t>
      </w:r>
    </w:p>
    <w:p w14:paraId="41EC97B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НАЦИОНАЛЬНОГО БАНКА МОЛДОВЫ                    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Серджиу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ЧОКЛЯ</w:t>
      </w:r>
    </w:p>
    <w:p w14:paraId="2C8450D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6B1F403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№ 202.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Кишинэу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9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августа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2018 г.</w:t>
      </w:r>
    </w:p>
    <w:p w14:paraId="28F0846F" w14:textId="77777777" w:rsidR="009F3212" w:rsidRPr="009F3212" w:rsidRDefault="009F3212" w:rsidP="009F3212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E155E2F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Приложение</w:t>
      </w:r>
      <w:proofErr w:type="spellEnd"/>
    </w:p>
    <w:p w14:paraId="04CAEBF9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</w:p>
    <w:p w14:paraId="77CB5A17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</w:p>
    <w:p w14:paraId="4F4C0BC2" w14:textId="77777777" w:rsidR="009F3212" w:rsidRPr="009F3212" w:rsidRDefault="009F3212" w:rsidP="009F3212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№ 202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августа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2018 г.</w:t>
      </w:r>
    </w:p>
    <w:p w14:paraId="336BDE6E" w14:textId="77777777" w:rsidR="009F3212" w:rsidRPr="009F3212" w:rsidRDefault="009F3212" w:rsidP="009F3212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4C40EA57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</w:p>
    <w:p w14:paraId="716AF746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о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</w:t>
      </w:r>
    </w:p>
    <w:p w14:paraId="2F9D394F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</w:t>
      </w:r>
    </w:p>
    <w:p w14:paraId="3DAC4F5C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небанковских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</w:p>
    <w:p w14:paraId="166D571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частично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перелагает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(ЕС) №2015/847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Европейского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2015 г.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отмене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(ЕС) № 1781/2006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ЕЭЗ),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журнале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Европейского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Союза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 141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июня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BB2B896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</w:t>
      </w:r>
    </w:p>
    <w:p w14:paraId="12604B48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ОБЩИЕ ПОЛОЖЕНИЯ</w:t>
      </w:r>
    </w:p>
    <w:p w14:paraId="1334B52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небанковских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815F17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Небанковский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напрямую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CDCE50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114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2012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548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21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июля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1995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14A267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контексте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термины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4B35C0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(LEI) 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—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буквенно-цифровой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ISO 17442,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присваиваемый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FDF6C5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[Пкт.3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 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94C049E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II</w:t>
      </w:r>
    </w:p>
    <w:p w14:paraId="245A1876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</w:p>
    <w:p w14:paraId="2F69326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1BF2A2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понимания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привлечением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ресурсов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DBFFAD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908108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аудитор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проводят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57005BC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III</w:t>
      </w:r>
    </w:p>
    <w:p w14:paraId="5598B139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К ВНУТРЕННЕЙ ПРОГРАММЕ</w:t>
      </w:r>
    </w:p>
    <w:p w14:paraId="5DD3ACD3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 ПРЕДУПРЕЖДЕНИЮ И БОРЬБЕ С ОТМЫВАНИЕМ ДЕНЕГ</w:t>
      </w:r>
    </w:p>
    <w:p w14:paraId="1C9A01AE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 ФИНАНСИРОВАНИЕМ ТЕРРОРИЗМА</w:t>
      </w:r>
    </w:p>
    <w:p w14:paraId="5B3F40A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Внутренняя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поддерживающие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профессионализма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рынке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умышленно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организованными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преступными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группировками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соучастниками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осмотрительностью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4A1569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разрабатывает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внутреннюю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общепринятой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Базельского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(GAFI).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Внутренняя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администратором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C8295B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величина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8B7AC8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Внутренняя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ограничиваются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961D52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93C63B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CCB003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2D3D41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с: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напрямую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.;</w:t>
      </w:r>
    </w:p>
    <w:p w14:paraId="237C19E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недостатков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AF95D9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иерархических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B888B6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e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058B99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своевременного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служебных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6D3F71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хотя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намеревается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привлечь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иерархический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присущего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CBA4FF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присущего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29BB70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воздействием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AC9C67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неординарных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9CF6FD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5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клиентов-резидентов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601725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неадекватными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из-за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высокого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преступности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коррупции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08BCC5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E2B1EE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несоблюдению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74DD3C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FC2017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отбора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0BEDDF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приобретенных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5570FB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пересматривает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803EE40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IV</w:t>
      </w:r>
    </w:p>
    <w:p w14:paraId="39D7DB67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 РИСКОВ ОТМЫВАНИЯ ДЕНЕГ И ФИНАНСИРОВАНИЯ</w:t>
      </w:r>
    </w:p>
    <w:p w14:paraId="2908C334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ТЕРРОРИЗМА. РИСК-ОРИЕНТИРОВАННЫЙ ПОДХОД</w:t>
      </w:r>
    </w:p>
    <w:p w14:paraId="503571F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фиксируются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.</w:t>
      </w:r>
    </w:p>
    <w:p w14:paraId="2D62D76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14.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риск-ориентированный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риск-ориентированный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пропорциональны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3EEFBE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15.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13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крайней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ежегодно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меньшей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24303E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влияние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FF9316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5E8DB4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131796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выпуска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развития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20C38B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развитии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9E9AB5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17.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типологий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справочников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рекомендаций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подвергнут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меньшей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45DF12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масштабы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разнообразие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2FA58B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92B1B2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некоторыми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высокая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преступность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коррупция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5BCC45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каналы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непосредственно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основывается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цепочки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операторами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цепи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сетей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5C5010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1C5C8C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обычную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профиль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BB37213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</w:t>
      </w:r>
    </w:p>
    <w:p w14:paraId="4E2C1434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 ПРЕДОСТОРОЖНОСТИ В ОТНОШЕНИИ КЛИЕНТОВ</w:t>
      </w:r>
    </w:p>
    <w:p w14:paraId="0C0FDC72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</w:t>
      </w:r>
    </w:p>
    <w:p w14:paraId="5788B4D0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акцепта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</w:p>
    <w:p w14:paraId="328D80A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понимание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98C7DF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этапов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DCA93D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вступает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уничтожения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отказе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таковыми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единицы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F96E18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будут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A57790C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</w:t>
      </w:r>
    </w:p>
    <w:p w14:paraId="68CB9C65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</w:p>
    <w:p w14:paraId="663BC32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22.Поставщик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DB9AD2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7351ED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взаимосвязанными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BECFE3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каких-либо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освобождений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пороговых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DE245C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C9C829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22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предлагаемого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предлагаемой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B49DE4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23.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п.22,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пониженный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выкупа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BE0147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максимальная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хранящаяся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E7E038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ежемесячный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лимит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5000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увеличена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10000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35B2EC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приобретения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товаров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C1DB01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4)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профинансирован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отнесены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69F9B76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эмитент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BFCC73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п.22,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B73BE6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25B85E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C2DA42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DFF117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гражданство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(IDNP,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серия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выдачи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выдавшего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фотографией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владельца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0D4E870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домашний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8A0091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почты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(e-mail)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4E898B8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статус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нерезидента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DB986A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занимаемая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работодателя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170077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дохода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1DA522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i)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F8F067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j)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запрошенного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предполагается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депонировать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ожидаемых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7CF83B6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A0BCA6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организационно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доверительный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1602E6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1E1EC1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фискальный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сертификатом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выпиской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32B9FD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7BA0321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указывается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4BAE18D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0FB8F0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f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руководящие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представительские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DABC03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вытекающие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0FAA7D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g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патрона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классов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конечном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итоге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подобных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6B04FE0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9922B1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i)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запрошенного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предполагается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депонировать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ожидаемых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378C9F9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разумные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уверенность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схему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описанные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п.24.</w:t>
      </w:r>
    </w:p>
    <w:p w14:paraId="28D4776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сокрытии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возможные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25,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исчерпаны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выясняется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мажоритарным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акционером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считается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накопленные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статуса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клиента-юридического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свидетельствуют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исчерпании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возможных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преследующих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извлечения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некоммерческих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распределение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ст.5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2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308/2017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9F629D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держателем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пакета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бумаги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регламентированном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рынке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многосторонней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торговой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налагает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раскрытию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биржи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применимому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надлежащую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прозрачность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мажоритарным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капиталом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подобного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кого-либо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акционеров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3B04BD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инициирующее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декларация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а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доверенность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D5A410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относящуюся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выгодоприобретащему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A7EC11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2) п.22.</w:t>
      </w:r>
    </w:p>
    <w:p w14:paraId="0BC1F3E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31.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пропорциональна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»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заменить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словами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«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пропорциональны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вызывают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поставшик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недокументальные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AB7DF3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AFBB83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фотографии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владельца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паспорт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жительство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д.);</w:t>
      </w:r>
    </w:p>
    <w:p w14:paraId="55D80C3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свидетельство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паспорт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жительство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д.;</w:t>
      </w:r>
    </w:p>
    <w:p w14:paraId="5C5AB21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с)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нотариусы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посольства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.);</w:t>
      </w:r>
    </w:p>
    <w:p w14:paraId="1E6FEB9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квитанций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коммунальные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уплате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налогов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6ADA64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e-mail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0ED16C0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f)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32B22A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уверенным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8DCA0F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адвокаты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бухгалтеры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.).</w:t>
      </w:r>
    </w:p>
    <w:p w14:paraId="431887E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доверительного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F21ED0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38FE08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пересмотр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1A5FFA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неплатежеспособности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ликвидации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продажи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проблем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84D645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C0F19C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почтовых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e-mail,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веб-странице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встречи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A5C954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1).</w:t>
      </w:r>
    </w:p>
    <w:p w14:paraId="1CD872A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изложенные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6B4508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32.Документы,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действительны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складируются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архивируются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удаленной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E824AA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33.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пересматривает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пониженным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один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предыдущее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неприменение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7768298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</w:t>
      </w:r>
    </w:p>
    <w:p w14:paraId="087CD538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</w:p>
    <w:p w14:paraId="380C6A3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34.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адаптировать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масштаб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институционной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профилей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высоким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пересматриваться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F535B2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Инициированные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заключенного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BDDCB1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внутреннюю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6C4902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охватывают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DDB633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обычных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47910A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подробное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протяжении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уверенности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у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автоматизированных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количественных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уделяется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количественные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преследующим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38116A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актуализированными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собранные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A4E2CA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412E5E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40B428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F0362C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оповещение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возникших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проблемах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FF10ED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воздерживается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рабочих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указывающих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правонарушениями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попытки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DD2F77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40.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39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инициативе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приказом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п.39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инициативе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позднее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16C744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41.В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39,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у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понимания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8B4F4A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39,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119602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589F98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24, 25, 30, 31 и 37;</w:t>
      </w:r>
    </w:p>
    <w:p w14:paraId="19368F9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прекратить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24, 25, 30, 31 и 37;</w:t>
      </w:r>
    </w:p>
    <w:p w14:paraId="5D2EEAF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2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обоснованно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полагает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24, 25, 30, 31 и 37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приведет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неразглашении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завершит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BF8190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формуляры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 и 2) и (21),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7E44C6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фискальным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C54BE3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44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/у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клиентов-нерезидентов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A13701F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</w:t>
      </w:r>
    </w:p>
    <w:p w14:paraId="36C12B35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полученная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у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третьих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</w:p>
    <w:p w14:paraId="2BA350D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прибегнуть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24, 25, 30 и 31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36137F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подотчетными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находящимися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308/2017, и;</w:t>
      </w:r>
    </w:p>
    <w:p w14:paraId="33AD2C9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59379B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45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обращающиеся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немедленно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5B210F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24, 25, 30 и 31;</w:t>
      </w:r>
    </w:p>
    <w:p w14:paraId="2B40B9C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24, 25, 30 и 31,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D22F08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конечную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п.30 и 31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072A649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VI</w:t>
      </w:r>
    </w:p>
    <w:p w14:paraId="79623BB9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 УПРОЩЕННОЙ ПРЕДОСТОРОЖНОСТИ</w:t>
      </w:r>
    </w:p>
    <w:p w14:paraId="489A1620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 ОТНОШЕНИИ КЛИЕНТОВ</w:t>
      </w:r>
    </w:p>
    <w:p w14:paraId="5A4FB57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пониженный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EF0BED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22 и 23,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4D7061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810959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специфической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специфических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F478C6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прерывать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нормальную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6E267B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6B1D41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масштаба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разумном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F222C7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скорее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первоначального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позднее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проводить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значимые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д.),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D103D8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порождают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способствовать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315205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C874BB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вклада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изъятия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D71046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количество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вкладов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выкупа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изъятие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3C2913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лишь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A492AB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лишь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3F7A7F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количеством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ознакомлен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EF446A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7)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C47B29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пользователям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социальных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покрытия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корпоративных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расходов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59BF61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Исходя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накапливает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вышеуказанным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B3DC8E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демонстрирует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низкого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приобретению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товаров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погашения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стоимости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дистанционных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C4FE30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максимальная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хранящаяся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FC5A9C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ежемесячных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D10465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эмитент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468217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9D7ED14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VII</w:t>
      </w:r>
    </w:p>
    <w:p w14:paraId="2BAEE9DD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 ПОВЫШЕННОЙ ПРЕДОСТОРОЖНОСТИ</w:t>
      </w:r>
    </w:p>
    <w:p w14:paraId="704E95B4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 ОТНОШЕНИИ КЛИЕНТОВ</w:t>
      </w:r>
    </w:p>
    <w:p w14:paraId="11D2131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доходов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правдоподобности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объяснений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количественных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33397E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генерирующие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генерирующие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D57290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3CD963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крупные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неограниченные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1075C1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264E87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3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авторизированные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436548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356833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кого-то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58F4E35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5C2854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7)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280CF1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необычно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себя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сразу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29653D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мало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умалчивает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C1B43C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переводят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D053AD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CAEE70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противоречат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доходам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3CE1D5B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иностранных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ED126C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прочие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8C94A7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предус-мотренным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п.24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D3B0E4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оборот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интернета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D9F794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9FBAD0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72A778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приготовления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339666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C19E21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увеличения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чистоты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отбор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нуждающихся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рассмотрении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заявленному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8029AF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специализированных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700BCA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вовлекают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251CC8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9)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трансграничных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окончания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неадекватного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–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7200E9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531 - 562.</w:t>
      </w:r>
    </w:p>
    <w:p w14:paraId="63DB9B0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53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клиентами-резидентами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авторизированных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AD6566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 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клиентов-резидентов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BBD432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допускает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совокупным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50 000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клиента-резидента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6C5D65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допускает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EBD3AD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специализированные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ИТ-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задействованных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товаров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прослеживаемости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C867B8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54.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e-mail,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интернет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цифровой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подписи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биометрических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сессионных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ключей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визита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E3CEF5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инстанцией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образец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подписи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2B595A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B3BB78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CFBCFC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у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35E6E5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расстоянии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8BCCFC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55.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накапливает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E7D12D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F4979E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руководящие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0D5A58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F3BD80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являлось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рассмотрения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исправительных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5DB4FE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995E03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C82D0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B730C5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5)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контексте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«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»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передачи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7ACB64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56.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семей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п.24,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7D896E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B21299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244E5B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состояния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82D53E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DF7B3A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семей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 - 4)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истечении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по-прежнему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2B31FF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56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высоким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обозначенных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GAFI,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запрошенными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CDE704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C86C91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пересмотр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9DE052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расположенных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0579463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закрытие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расположенного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1886C48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56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2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561,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52D68A0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VIII</w:t>
      </w:r>
    </w:p>
    <w:p w14:paraId="3A137AD9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АГЕНТЫ ПОСТАВЩИКА</w:t>
      </w:r>
    </w:p>
    <w:p w14:paraId="185C9D9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статуса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жизнеспособными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внедрят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описанные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лицензированными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регулируемые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лицензированные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небанковские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415892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предыдущей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недавнее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нынешним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длительности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жизнеспособности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записи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почтовых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эмитентов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93AC5C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предыдущем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ожидаемом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географической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EC32B4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правовым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организовываться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05F380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помощи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FF52F1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крупных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записей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C1CA1A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вмешательства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исправление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дистанционной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потребовать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приостановление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172802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ручной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автоматический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комбинированный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куда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переведены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предыдущих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будет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основываться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ощущаемых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исправление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указывающей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внимательное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рассмотрение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целостности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разъяснения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дистанционная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привести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приостановлению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0AA1A2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59.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специфические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пересмотрены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Специфические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пересматриваться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8BA0B6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улучшения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специфических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вытекающих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4555CE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создание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9D9802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817270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лимитов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B40E19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улучшения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31AC0C9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IX</w:t>
      </w:r>
    </w:p>
    <w:p w14:paraId="5462A693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ПО ПЕРЕВОДУ СРЕДСТВ</w:t>
      </w:r>
    </w:p>
    <w:p w14:paraId="679D412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поставщиком-посредником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6D9304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мобильного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цифрового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постоплаченного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постпейд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51E466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оплаты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товаров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 и</w:t>
      </w:r>
    </w:p>
    <w:p w14:paraId="1580784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вытекающие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C92E38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Несмотря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мобильный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цифровое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оплаченное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постпейд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потребителей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отличных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коммерческой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профессиональной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промышленную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ремесленную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A2EB00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[Пкт.62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C246A4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C0E7FF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снятие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350BDF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пользу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уплаты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налогов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штрафов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сборов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B956BD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E5754F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изображениями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укороченные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763B8F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[Пкт.63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7BA98E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63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к:</w:t>
      </w:r>
    </w:p>
    <w:p w14:paraId="2C893F0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перечисленным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1)–13) и 15)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114/2012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8437FE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кроме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преобразования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бумажного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носителя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кроме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поддержки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передачи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компенсации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возмещения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08DA52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[Пкт.63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15053E15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</w:t>
      </w:r>
    </w:p>
    <w:p w14:paraId="052B639B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</w:p>
    <w:p w14:paraId="6C98D8B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сопровождались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EBEF98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3F76FB5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2962AC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IDNP/IDNO)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альтернативного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5F2ED4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текущий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формате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3859B5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[Пкт.64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7A5AE6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сопровождались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A1F7B2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4C5798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6D4773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текущий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формате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FEDD81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[Пкт.65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287A7C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66.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п.64 и подп.2), п. 65,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вместо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93D14D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п.64, и,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755BD9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[Пкт.67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F5663B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67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67,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считается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V-VII и XI.</w:t>
      </w:r>
    </w:p>
    <w:p w14:paraId="303CC0A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[Пкт.67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5B841C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68.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 и,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ущерба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дебетовании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присвоении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IBAN,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108/2023,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находится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вместе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данным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превысили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крайней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8BF569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[Пкт.68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4F69B1A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68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67,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4D1227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</w:p>
    <w:p w14:paraId="062518E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обоснованные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839740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[Пкт.68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F24A15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69.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картотеки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чьи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п. 64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сгруппированным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переработанный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пакетного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файла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64, 65 и 66,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67 и 67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сопровождались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ссылки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B4E189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[Пкт.69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E12231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 и 65 и,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ущерба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дебетовании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присвоении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IBAN,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108/2023,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участвующие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цепочке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рабочих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промежуточного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8D9C33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64-66,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523BB8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6DDDEA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[Пкт.69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8B3270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64-69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BEDDFA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[Пкт.70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FAA2A3D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</w:t>
      </w:r>
    </w:p>
    <w:p w14:paraId="6E2349E3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</w:p>
    <w:p w14:paraId="5AD680A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71.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последующий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режиме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65,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66, 68, 69 и 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213466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[Пкт.71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880202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взаимосвязаны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65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66, 68, 69 и 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65D55A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[Пкт.71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15AB9BF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72.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лимит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71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71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только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38B4AB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получил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</w:p>
    <w:p w14:paraId="41BD3AB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обоснованные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3829D8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[Пкт.72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14E31BF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72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и 72,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считается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V-VII и XI.</w:t>
      </w:r>
    </w:p>
    <w:p w14:paraId="67B4A23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[Пкт.72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17C0809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11,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касающиеся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приостановить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F10C09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[Пкт.73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0B96E7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74.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66, 68, 69 и 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неполная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конвенциями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71,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зачисления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4CFD6F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[Пкт.74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476DF1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75.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упускает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заключаются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во-первых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вынесении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прежде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сокращении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упущениях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предпринятых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F58ED3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[Пкт.75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1902BF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75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одновременно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2F49C2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[Пкт.75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1D170E5C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Часть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</w:t>
      </w:r>
    </w:p>
    <w:p w14:paraId="188EADE0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поставщиков-посредников</w:t>
      </w:r>
      <w:proofErr w:type="spellEnd"/>
    </w:p>
    <w:p w14:paraId="34B124A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Поставщик-посредник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последующий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режиме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66, 68, 69 и 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сопровождающая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сохранялась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вместе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AD89A1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[Пкт.76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329C931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[Пкт.77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утратил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3BC3A34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Поставщик-посредник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приостановить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дальнейших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B5CF24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[Пкт.78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17C6785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поставщик-посредник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66, 68, 69 и 69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неполные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71 и 76,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402609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[Пкт.79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A405E4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80.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упускает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заключаются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во-первых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вынесении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прежде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сокращении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Поставщик-посредник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упущениях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26E2A2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[Пкт.80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0753076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80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Поставщик-посредник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недостающую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проинформировать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11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308/2017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74F1AE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[Пкт.80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0C7399A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</w:t>
      </w:r>
    </w:p>
    <w:p w14:paraId="05F99933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ОТЧЕТЫ О ДЕЯТЕЛЬНОСТИ И СДЕЛКАХ</w:t>
      </w:r>
    </w:p>
    <w:p w14:paraId="5376DB3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ст.11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308/2017 о:</w:t>
      </w:r>
    </w:p>
    <w:p w14:paraId="11C5CFB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ценностях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правонарушениями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порождающих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CBD579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начиная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заканчивая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последним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6D5649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подпадающие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-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37FD12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40 000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-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98709F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C9682A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исходя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доведенными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51E26E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0C7C35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проблемах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A9D9C6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мошенничества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вредящих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стабильности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B85CCF3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</w:t>
      </w:r>
    </w:p>
    <w:p w14:paraId="77143C39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 ДАННЫХ</w:t>
      </w:r>
    </w:p>
    <w:p w14:paraId="5E574E8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помощью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дистанционной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исследований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воссоздания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образом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доказательством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уголовного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правонарушительного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66C08E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99D5AE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IDNO/IDNP,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закрытия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B6495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первичных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02818C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D4C188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д.),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неординарных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B57069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учреждению-посреднику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A54E6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оперативного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4BEE84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оперативную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продлен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AE160EE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XII</w:t>
      </w:r>
    </w:p>
    <w:p w14:paraId="23505757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ПО СИСТЕМЕ ВНУТРЕННЕГО КОНТРОЛЯ</w:t>
      </w:r>
    </w:p>
    <w:p w14:paraId="5C33660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способствующей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сопутствующих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ADD973F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ряда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масштаба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разнообразия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географическое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разнообразие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клиентская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профиль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присущего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зоне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каналам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распределения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взаимодействует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200260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89.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пребывания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пребывания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недостаточны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пребывания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отозвать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технические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касающиеся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ABFA1B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89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91-94,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4AC257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B26890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​​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0644F0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конфиденциальности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подлежащей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тайной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обработки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33885D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включить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A72D80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91.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2D65F5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аудиторской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фирмой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аудитором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515059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284626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тестирование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BBFB62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тестирование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BBBA8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рекомендация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недостатков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0EECA8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являющегося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3DC1A4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консультации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вопросам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возникающим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DE8AD9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2597D7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E2EE37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7D95700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сотрудничает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задач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7EB5DC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B78D59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санкционировании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преднамеренно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способствуют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5A79E5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A72FD5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93.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подбора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репутационными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навыками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86E159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94.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подбора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п.93,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аспекты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23E84F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вновь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важности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37ED18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„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”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непосредственно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работающие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подозри-тельной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подлежащих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339799E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EFB7E1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техники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тенденции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121DE9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B657908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график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адаптируются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потребностям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EE125D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95.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обрабатывает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конфиденциальность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E764FCD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XIII</w:t>
      </w:r>
    </w:p>
    <w:p w14:paraId="6BE02E02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ПО ПРИМЕНЕНИЮ</w:t>
      </w:r>
    </w:p>
    <w:p w14:paraId="1251E7F5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 ОГРАНИЧИТЕЛЬНЫХ МЕР</w:t>
      </w:r>
    </w:p>
    <w:p w14:paraId="6B3C64C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96.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ценностей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генерируемых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находящимся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6F286F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97.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п.96,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разрабатывает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130DB4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сбору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25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марта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2016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приказ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директора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безопасности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списках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A59A81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заявителям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одноразовых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C93082D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замораживанию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FAD5D3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8DD1F81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98.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произведенного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находящегося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последовательно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шаги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60E77B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приказом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воздерживается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неопределенный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этапе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покушения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пользу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частично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контролируются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412CDB7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позднее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неопределенный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направляемая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06ACE7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IDNO/IDNP,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C7F2456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A1DC2B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неопределенный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относящихся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088512A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увеличение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стоимости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расширяет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воздержании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1) п.98, а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a) и b) подп.2)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98;</w:t>
      </w:r>
    </w:p>
    <w:p w14:paraId="089E6F55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a) и b) подп.2) п.98;</w:t>
      </w:r>
    </w:p>
    <w:p w14:paraId="4121D6C3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99.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твердой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убежденности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идентичности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включенной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упомянутый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(11)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A38D5B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100.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постоянное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веб-страниц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объединенных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Европейского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Союза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безопасности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16C7C32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XIV</w:t>
      </w:r>
    </w:p>
    <w:p w14:paraId="39E5370C" w14:textId="77777777" w:rsidR="009F3212" w:rsidRPr="009F3212" w:rsidRDefault="009F3212" w:rsidP="009F3212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 ПОЛОЖЕНИЯ</w:t>
      </w:r>
    </w:p>
    <w:p w14:paraId="297D99A2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101.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устанавливается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27BABB9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102.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мошенничества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безопасности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надлежащего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функционирования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репутации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.​</w:t>
      </w:r>
    </w:p>
    <w:p w14:paraId="6D77CA2C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793DE64" w14:textId="77777777" w:rsidR="009F3212" w:rsidRPr="009F3212" w:rsidRDefault="009F3212" w:rsidP="009F3212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9F3212">
        <w:rPr>
          <w:rFonts w:asciiTheme="minorHAnsi" w:eastAsia="Times New Roman" w:hAnsiTheme="minorHAnsi" w:cstheme="minorHAnsi"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приложение</w:t>
      </w:r>
      <w:proofErr w:type="spellEnd"/>
      <w:r w:rsidRPr="009F3212">
        <w:rPr>
          <w:rFonts w:asciiTheme="minorHAnsi" w:eastAsia="Times New Roman" w:hAnsiTheme="minorHAnsi" w:cstheme="minorHAnsi"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 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утратило</w:t>
      </w:r>
      <w:proofErr w:type="spellEnd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9F3212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9F3212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57AC2B6F" w14:textId="77777777" w:rsidR="00F12C76" w:rsidRPr="009F3212" w:rsidRDefault="00F12C76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sectPr w:rsidR="00F12C76" w:rsidRPr="009F32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A6"/>
    <w:rsid w:val="000B5DA6"/>
    <w:rsid w:val="006C0B77"/>
    <w:rsid w:val="008242FF"/>
    <w:rsid w:val="00870751"/>
    <w:rsid w:val="00922C48"/>
    <w:rsid w:val="009F3212"/>
    <w:rsid w:val="00B70D01"/>
    <w:rsid w:val="00B915B7"/>
    <w:rsid w:val="00EA59DF"/>
    <w:rsid w:val="00EE4070"/>
    <w:rsid w:val="00F12C76"/>
    <w:rsid w:val="00F7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679EB-C214-4516-8D61-0186915F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D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A6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A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A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B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D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DA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B5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D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D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D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B5D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https://www.legis.md/cautare/getResults?doc_id=146744&amp;lang=ru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13549</Words>
  <Characters>78586</Characters>
  <Application>Microsoft Office Word</Application>
  <DocSecurity>0</DocSecurity>
  <Lines>654</Lines>
  <Paragraphs>183</Paragraphs>
  <ScaleCrop>false</ScaleCrop>
  <Company>Banca Nationala a Moldovei</Company>
  <LinksUpToDate>false</LinksUpToDate>
  <CharactersWithSpaces>91952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2025-01-29T08:58:00Z</dcterms:created>
  <dcterms:modified xsi:type="dcterms:W3CDTF">2025-01-29T08:59:00Z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2025-01-29T08:58:35Z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db5c0746-8dec-4f03-8759-dbc4335fd716</vt:lpwstr>
  </property>
  <property fmtid="{D5CDD505-2E9C-101B-9397-08002B2CF9AE}" pid="8" name="MSIP_Label_38962dcf-d39f-4edc-a396-338a56ba9170_ContentBits">
    <vt:lpwstr>0</vt:lpwstr>
  </property>
</Properties>
</file>